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Развитие экономики, креативных индустрий и здравоохранения в Арктике обсудят участники ВЭФ-2022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 Восточный экономический форум, который состоится 5-8 сентября во Владивостоке, станет площадкой для мероприятий Плана председательства России в Арктическом совете в 2021-2023 гг. и других мероприятий арктической тематики. Оператором событий председательства выступает Фонд Росконгресс.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«Проведение мероприятий арктической повестки на столь важной коммуникационной площадке как Восточный экономический форум позволит привлечь дополнительное внимание к проблемам и перспективам Крайнего Севера. Ведущие специалисты и эксперты обсудят вопросы экономического развития Арктической зоны, международного сотрудничества и поступательного развития креативных индустрий на Севере. Успешный опыт проведения мероприятий российского председательства в Арктическом совете на ПМЭФ-2022 продемонстрировал востребованность дискуссии об освоении Арктики», — подчеркнул советник Президента Российской Федерации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Антон Кобяков.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ВЭФ-2022 состоится несколько мероприятий Плана председательства России в Арктическом совете в 2021-2023 гг. Одним из них станет конференция в формате делового завтрака «Инвестиции и торговля в Арктике», участники которой затронут вопросы функционирования как дальневосточных преференциальных режимов (ТОР и СПВ), так и специально разработанного для Крайнего Севера режима АЗРФ. Эксперты из ведущих российских компаний и профильных ведомств обсудят перспективы сотрудничества России с иностранными партнерами в Арктике и возможности для развития Северного морского пути при выстраивании новых логистических цепочек.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дальневосточных и арктических территорий невозможно без участия предпринимательства и прямого контакта компаний как с государством, так и с другими бизнес-структурами. В Арктической зоне Российской Федерации успешно действу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>т комплекс мер поддержки от государства, одна из главных - преференциальные режимы. Новый вызов — развитие Северного морского пути и успешное встраивание этого маршрута в мировые логистические цепочки. Именно благодаря продуктивному сотрудничеству государства и бизнес-сообщества мы сможем достичь заявленных целей по увеличению грузопотока на Северном морском пути», — отметил Министр Р</w:t>
      </w:r>
      <w:r>
        <w:rPr>
          <w:rFonts w:ascii="Times New Roman" w:hAnsi="Times New Roman"/>
          <w:sz w:val="24"/>
          <w:szCs w:val="24"/>
          <w:lang w:val="ru-RU"/>
        </w:rPr>
        <w:t>оссийской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  <w:lang w:val="ru-RU"/>
        </w:rPr>
        <w:t>едерации</w:t>
      </w:r>
      <w:r>
        <w:rPr>
          <w:rFonts w:ascii="Times New Roman" w:hAnsi="Times New Roman"/>
          <w:sz w:val="24"/>
          <w:szCs w:val="24"/>
        </w:rPr>
        <w:t xml:space="preserve"> по развитию Дальнего Востока и Арктики Алексей Чекунков.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свою очередь на конференции «Формируя здоровое общество на Дальнем Востоке и в Арктике» состоится обсуждение демографической повестки в Арктическом регионе и на территории Дальневосточного федерального округа, возможностей повышения рождаемости, а также укрепления здоровья семьи и традиционных семейных ценностей. Одна из тем мероприятия – роль женщин в реализации общественных проектов по продвижению здорового образа жизни на удалённых территориях. Участники дискуссии обсудят меры поддержки для работающих женщин, условия для ведения деятельности в сфере общественного здоровья, а также возможности интеграции региональных программ в федеральную повестку. Помимо этого, на конференции также обсудят вопросы качества, доступности и безопасности медицинской помощи.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одним из ключевых событий арктической повестки ВЭФ-2022 станет заседание Арктического экономического совета (АЭС), в котором Россия также председательствует в 2021-2023 гг. Совет является независимой международной организации, в компетенцию которой входит развитие бизнеса и B2B-взаимодействия в Арктике, а также содействие ответственному экономическому развитию региона с помощью распространения лучших практик, технологических решений и стандартов, обмена опытом и налаживания партнерских отношений. На расширенном заседании российской национальной части АЭС планируется обсуждение основных направлений сотрудничества с партнерами из Азии, в том числе в области развития перевозок по Северному морскому пути, энергетики, а также добычи полезных ископаемых.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этого, в рамках ВЭФ-2022 состоится Форум Креативного Бизнеса «Социокультурное развитие северных регионов», инициатива проведения которого была продвинута в ходе российского председательства в Арктическом совете. Деловая программа Форума будет посвящена социокультурному развитию регионов Севера и сфокусируется на перспективных направлениях креативных индустрий и развитии социального сектора на северных территориях. Участники дискуссий обсудят специфику развития северных городов, промышленный арктический дизайн, традиции малых народов и туризм, а также влияние технологий на особенности жизни на Севере, региональную киноиндустрию и анимацию, национальную кухню, создание локальных арт-резиденций и арт-хабов. Социальным аспектам будут посвящены сессии о поддержке молодежи и коренных малочисленных народов. Ряд сессий Форума запланирован в рамках деловой программы ВЭФ-2022, несколько мероприятий вне деловой программы пройдут в павильоне «Дом коренных народов» на выставке «Улица Дальнего Востока» – новой площадке, посвященной культуре коренных малочисленных народов Севера. Организатором Форума выступает социальная платформа Фонда Росконгресс – Фонд Инносоциум.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Форума Креативного Бизнеса также будет организована работа Молодежного мультимедийно-дискуссионного кампуса «Душа России. Север», который будет действовать в павильоне Гостиная на «Улице Дальнего Востока». Кроме того, пройдет Фестиваль аудиовизуальной культуры «Душа России. Север». Участники ВЭФ и молодежь смогут ознакомиться с достижениями северных регионов и увидеть вековые традиции, культуру и эпос малых народов региона в современной интерпретации как молодых артистов, так и признанных деятелей культуры.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shd w:val="clear" w:fill="FFFFFF"/>
        </w:rPr>
        <w:t>«Сквозным приоритетом нашего председательства в Арктическом совете в 2021-2023 гг. является обеспечение ответственного управления для устойчивого развития региона, сбалансированного в экологическом, социальном и экономическом измерениях. Уверен, что проведение на ВЭФ-2022 мероприятий по широкому спектру вопросов арктической повестки будет способствовать достижению этой цели»</w:t>
      </w:r>
      <w:r>
        <w:rPr>
          <w:rFonts w:ascii="Times New Roman" w:hAnsi="Times New Roman"/>
          <w:sz w:val="24"/>
          <w:szCs w:val="24"/>
        </w:rPr>
        <w:t xml:space="preserve">, — отметил Посол по особым поручениям МИД России, Председатель Комитета старших должностных лиц Арктического совета Николай Корчунов. 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Арктическая тематика на ВЭФ также будет представлена сессиями реализуемого в рамках российского председательства аналитического проекта Think Arctic - Think Global. Сессия «Восточное измерение международной кооперации в Арктике» будет посвящена актуальности выстраивания гибких форматов взаимодействия в данном регионе. Появление на мировой политической карте значительного количества центров силы, различающихся по степени развития информационно-технологического и экономического потенциалов, создает дополнительные требования для ведущих игроков в области поддержания устойчивых связей в Арктическом регионе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Сессия «Россия-Индия: Фарватер совместного освоения Арктики» будет посвящена позиционированию и рассмотрению интересов Индии в данном регионе с учетом большой удаленности от Арктического региона. Возможности сотрудничества вызывают много вопросов и одновременно формируют актуальность для дискуссии на международном уровне в условиях новой экономической реальности. Итоги двух сессий станут частью аналитического доклада, посвященного международному сотрудничеству в области устойчивого развития Росси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</w:rPr>
        <w:t xml:space="preserve"> с арктическими и неарктическими государствами.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Style w:val="10"/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Подробная информация о программе ВЭФ-2022 – на официальном сайте: </w:t>
      </w:r>
      <w:r>
        <w:fldChar w:fldCharType="begin"/>
      </w:r>
      <w:r>
        <w:instrText xml:space="preserve"> HYPERLINK "http://www.forumvostok.ru" </w:instrText>
      </w:r>
      <w:r>
        <w:fldChar w:fldCharType="separate"/>
      </w:r>
      <w:r>
        <w:rPr>
          <w:rStyle w:val="11"/>
          <w:rFonts w:eastAsia="Arial Unicode MS"/>
        </w:rPr>
        <w:t>forumvostok.ru</w:t>
      </w:r>
      <w:r>
        <w:rPr>
          <w:rStyle w:val="11"/>
          <w:rFonts w:eastAsia="Arial Unicode MS"/>
        </w:rPr>
        <w:fldChar w:fldCharType="end"/>
      </w:r>
      <w:r>
        <w:rPr>
          <w:rStyle w:val="10"/>
          <w:rFonts w:ascii="Times New Roman" w:hAnsi="Times New Roman"/>
          <w:sz w:val="24"/>
          <w:szCs w:val="24"/>
          <w:shd w:val="clear" w:color="auto" w:fill="FFFFFF"/>
        </w:rPr>
        <w:t>. Организатор Восточного экономического форума – Фонд Росконгресс.</w:t>
      </w:r>
    </w:p>
    <w:p>
      <w:pPr>
        <w:shd w:val="clear" w:color="auto" w:fill="FFFFFF"/>
        <w:spacing w:after="0" w:line="240" w:lineRule="auto"/>
        <w:jc w:val="both"/>
        <w:rPr>
          <w:rStyle w:val="10"/>
          <w:rFonts w:ascii="Times New Roman" w:hAnsi="Times New Roman" w:eastAsia="Times New Roman" w:cs="Times New Roman"/>
          <w:sz w:val="12"/>
          <w:szCs w:val="12"/>
        </w:rPr>
      </w:pPr>
    </w:p>
    <w:p>
      <w:pPr>
        <w:shd w:val="clear" w:color="auto" w:fill="FFFFFF"/>
        <w:spacing w:after="0" w:line="240" w:lineRule="auto"/>
        <w:jc w:val="both"/>
        <w:rPr>
          <w:rStyle w:val="10"/>
          <w:rFonts w:ascii="Times New Roman" w:hAnsi="Times New Roman" w:eastAsia="Times New Roman" w:cs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>Все оперативные новости о подготовке ВЭФ-2022 – в официальных соцсетях Форума. </w:t>
      </w:r>
    </w:p>
    <w:p>
      <w:pPr>
        <w:shd w:val="clear" w:color="auto" w:fill="FFFFFF"/>
        <w:spacing w:after="0" w:line="240" w:lineRule="auto"/>
        <w:jc w:val="both"/>
        <w:rPr>
          <w:rStyle w:val="10"/>
          <w:rFonts w:ascii="Times New Roman" w:hAnsi="Times New Roman" w:eastAsia="Times New Roman" w:cs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 xml:space="preserve">Telegram: </w:t>
      </w:r>
      <w:r>
        <w:fldChar w:fldCharType="begin"/>
      </w:r>
      <w:r>
        <w:instrText xml:space="preserve"> HYPERLINK "https://t.me/roscongress" </w:instrText>
      </w:r>
      <w:r>
        <w:fldChar w:fldCharType="separate"/>
      </w:r>
      <w:r>
        <w:rPr>
          <w:rStyle w:val="11"/>
          <w:rFonts w:eastAsia="Arial Unicode MS"/>
        </w:rPr>
        <w:t>t.me/roscongress</w:t>
      </w:r>
      <w:r>
        <w:rPr>
          <w:rStyle w:val="11"/>
          <w:rFonts w:eastAsia="Arial Unicode MS"/>
        </w:rPr>
        <w:fldChar w:fldCharType="end"/>
      </w:r>
      <w:r>
        <w:rPr>
          <w:rStyle w:val="10"/>
          <w:rFonts w:ascii="Times New Roman" w:hAnsi="Times New Roman"/>
          <w:sz w:val="24"/>
          <w:szCs w:val="24"/>
        </w:rPr>
        <w:t> </w:t>
      </w:r>
    </w:p>
    <w:p>
      <w:pPr>
        <w:shd w:val="clear" w:color="auto" w:fill="FFFFFF"/>
        <w:spacing w:after="0" w:line="240" w:lineRule="auto"/>
        <w:jc w:val="both"/>
        <w:rPr>
          <w:rStyle w:val="10"/>
          <w:rFonts w:ascii="Times New Roman" w:hAnsi="Times New Roman" w:eastAsia="Times New Roman" w:cs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 xml:space="preserve">ВК: </w:t>
      </w:r>
      <w:r>
        <w:fldChar w:fldCharType="begin"/>
      </w:r>
      <w:r>
        <w:instrText xml:space="preserve"> HYPERLINK "https://vk.com/public211047666" </w:instrText>
      </w:r>
      <w:r>
        <w:fldChar w:fldCharType="separate"/>
      </w:r>
      <w:r>
        <w:rPr>
          <w:rStyle w:val="11"/>
          <w:rFonts w:eastAsia="Arial Unicode MS"/>
        </w:rPr>
        <w:t>Восточный экономический форум (vk.com)</w:t>
      </w:r>
      <w:r>
        <w:rPr>
          <w:rStyle w:val="11"/>
          <w:rFonts w:eastAsia="Arial Unicode MS"/>
        </w:rPr>
        <w:fldChar w:fldCharType="end"/>
      </w:r>
    </w:p>
    <w:p>
      <w:pPr>
        <w:spacing w:after="0" w:line="240" w:lineRule="auto"/>
        <w:jc w:val="both"/>
        <w:outlineLvl w:val="0"/>
        <w:rPr>
          <w:rStyle w:val="10"/>
          <w:rFonts w:ascii="Times New Roman" w:hAnsi="Times New Roman" w:eastAsia="Times New Roman" w:cs="Times New Roman"/>
        </w:rPr>
      </w:pPr>
    </w:p>
    <w:p>
      <w:pPr>
        <w:spacing w:after="0" w:line="240" w:lineRule="auto"/>
        <w:ind w:firstLine="426"/>
        <w:jc w:val="both"/>
        <w:rPr>
          <w:rStyle w:val="10"/>
          <w:rFonts w:ascii="Times New Roman" w:hAnsi="Times New Roman" w:eastAsia="Times New Roman" w:cs="Times New Roman"/>
          <w:i/>
          <w:iCs/>
          <w:sz w:val="20"/>
          <w:szCs w:val="20"/>
        </w:rPr>
      </w:pPr>
      <w:bookmarkStart w:id="0" w:name="_Hlk37175453"/>
      <w:r>
        <w:rPr>
          <w:rStyle w:val="10"/>
          <w:rFonts w:ascii="Times New Roman" w:hAnsi="Times New Roman"/>
          <w:b/>
          <w:bCs/>
          <w:i/>
          <w:iCs/>
          <w:sz w:val="20"/>
          <w:szCs w:val="20"/>
        </w:rPr>
        <w:t>Ф</w:t>
      </w:r>
      <w:bookmarkEnd w:id="0"/>
      <w:bookmarkStart w:id="1" w:name="_Hlk37145538"/>
      <w:r>
        <w:rPr>
          <w:rStyle w:val="10"/>
          <w:rFonts w:ascii="Times New Roman" w:hAnsi="Times New Roman"/>
          <w:b/>
          <w:bCs/>
          <w:i/>
          <w:iCs/>
          <w:sz w:val="20"/>
          <w:szCs w:val="20"/>
        </w:rPr>
        <w:t xml:space="preserve">онд Росконгресс </w:t>
      </w:r>
      <w:r>
        <w:rPr>
          <w:rStyle w:val="10"/>
          <w:rFonts w:ascii="Times New Roman" w:hAnsi="Times New Roman"/>
          <w:i/>
          <w:iCs/>
          <w:sz w:val="20"/>
          <w:szCs w:val="20"/>
        </w:rPr>
        <w:t>– 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 в соответствии с решением Президента Российской Федерации.</w:t>
      </w:r>
    </w:p>
    <w:p>
      <w:pPr>
        <w:spacing w:after="0" w:line="240" w:lineRule="auto"/>
        <w:ind w:firstLine="426"/>
        <w:jc w:val="both"/>
        <w:rPr>
          <w:rStyle w:val="10"/>
          <w:rFonts w:ascii="Times New Roman" w:hAnsi="Times New Roman" w:eastAsia="Times New Roman" w:cs="Times New Roman"/>
          <w:i/>
          <w:iCs/>
          <w:sz w:val="20"/>
          <w:szCs w:val="20"/>
        </w:rPr>
      </w:pPr>
      <w:r>
        <w:rPr>
          <w:rStyle w:val="10"/>
          <w:rFonts w:ascii="Times New Roman" w:hAnsi="Times New Roman"/>
          <w:i/>
          <w:iCs/>
          <w:sz w:val="20"/>
          <w:szCs w:val="20"/>
        </w:rPr>
        <w:t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</w:t>
      </w:r>
    </w:p>
    <w:p>
      <w:pPr>
        <w:spacing w:after="0" w:line="240" w:lineRule="auto"/>
        <w:ind w:firstLine="426"/>
        <w:jc w:val="both"/>
        <w:rPr>
          <w:rStyle w:val="10"/>
          <w:rFonts w:ascii="Times New Roman" w:hAnsi="Times New Roman" w:eastAsia="Times New Roman" w:cs="Times New Roman"/>
          <w:i/>
          <w:iCs/>
          <w:sz w:val="20"/>
          <w:szCs w:val="20"/>
        </w:rPr>
      </w:pPr>
      <w:r>
        <w:rPr>
          <w:rStyle w:val="10"/>
          <w:rFonts w:ascii="Times New Roman" w:hAnsi="Times New Roman"/>
          <w:i/>
          <w:iCs/>
          <w:sz w:val="20"/>
          <w:szCs w:val="20"/>
        </w:rPr>
        <w:t>Мероприятия Фонда собирают участников из 208 стран и территорий, более 15 тысяч представителей СМИ ежегодно работают на площадках Росконгресса, в аналитическую и экспертную работу вовлечены более 5000 экспертов в России и за рубежом.</w:t>
      </w:r>
    </w:p>
    <w:p>
      <w:pPr>
        <w:spacing w:after="0" w:line="240" w:lineRule="auto"/>
        <w:ind w:firstLine="426"/>
        <w:jc w:val="both"/>
        <w:rPr>
          <w:rStyle w:val="10"/>
          <w:rFonts w:ascii="Times New Roman" w:hAnsi="Times New Roman" w:eastAsia="Times New Roman" w:cs="Times New Roman"/>
          <w:i/>
          <w:iCs/>
          <w:sz w:val="20"/>
          <w:szCs w:val="20"/>
        </w:rPr>
      </w:pPr>
      <w:r>
        <w:rPr>
          <w:rStyle w:val="10"/>
          <w:rFonts w:ascii="Times New Roman" w:hAnsi="Times New Roman"/>
          <w:i/>
          <w:iCs/>
          <w:sz w:val="20"/>
          <w:szCs w:val="20"/>
        </w:rPr>
        <w:t>Фонд взаимодействует со структурами ООН и другими международными организациями. Развивает многоформатное сотрудничество со 173 внешнеэкономическими партнерами, объединениями промышленников и предпринимателей, финансовыми, торговыми и бизнес-ассоциациями в 78 странах мира, со 179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>
      <w:pPr>
        <w:pStyle w:val="6"/>
        <w:ind w:firstLine="426"/>
        <w:jc w:val="both"/>
        <w:rPr>
          <w:rStyle w:val="10"/>
          <w:rFonts w:ascii="Times New Roman" w:hAnsi="Times New Roman" w:eastAsia="Times New Roman" w:cs="Times New Roman"/>
          <w:i/>
          <w:iCs/>
          <w:sz w:val="20"/>
          <w:szCs w:val="20"/>
        </w:rPr>
      </w:pPr>
      <w:r>
        <w:rPr>
          <w:rStyle w:val="10"/>
          <w:rFonts w:ascii="Times New Roman" w:hAnsi="Times New Roman"/>
          <w:i/>
          <w:iCs/>
          <w:color w:val="FF0000"/>
          <w:sz w:val="20"/>
          <w:szCs w:val="20"/>
          <w:u w:color="FF0000"/>
        </w:rPr>
        <w:t xml:space="preserve"> </w:t>
      </w:r>
      <w:r>
        <w:rPr>
          <w:rStyle w:val="10"/>
          <w:rFonts w:ascii="Times New Roman" w:hAnsi="Times New Roman"/>
          <w:i/>
          <w:iCs/>
          <w:sz w:val="20"/>
          <w:szCs w:val="20"/>
        </w:rPr>
        <w:t xml:space="preserve">Официальные телеграм-каналы Фонда Росконгресс: на русском языке – </w:t>
      </w:r>
      <w:r>
        <w:rPr>
          <w:rStyle w:val="10"/>
          <w:rFonts w:ascii="Times New Roman" w:hAnsi="Times New Roman"/>
          <w:i/>
          <w:iCs/>
          <w:color w:val="0000FF"/>
          <w:sz w:val="20"/>
          <w:szCs w:val="20"/>
          <w:u w:val="single" w:color="0000FF"/>
        </w:rPr>
        <w:t>t.me/Roscongress</w:t>
      </w:r>
      <w:r>
        <w:rPr>
          <w:rStyle w:val="10"/>
          <w:rFonts w:ascii="Times New Roman" w:hAnsi="Times New Roman"/>
          <w:i/>
          <w:iCs/>
          <w:sz w:val="20"/>
          <w:szCs w:val="20"/>
        </w:rPr>
        <w:t xml:space="preserve">, на английском языке – </w:t>
      </w:r>
      <w:r>
        <w:rPr>
          <w:rStyle w:val="10"/>
          <w:rFonts w:ascii="Times New Roman" w:hAnsi="Times New Roman"/>
          <w:i/>
          <w:iCs/>
          <w:color w:val="0000FF"/>
          <w:sz w:val="20"/>
          <w:szCs w:val="20"/>
          <w:u w:val="single" w:color="0000FF"/>
        </w:rPr>
        <w:t>t.me/RoscongressDirect</w:t>
      </w:r>
      <w:r>
        <w:rPr>
          <w:rStyle w:val="10"/>
          <w:rFonts w:ascii="Times New Roman" w:hAnsi="Times New Roman"/>
          <w:i/>
          <w:iCs/>
          <w:sz w:val="20"/>
          <w:szCs w:val="20"/>
        </w:rPr>
        <w:t xml:space="preserve">, на испанском языке – </w:t>
      </w:r>
      <w:r>
        <w:rPr>
          <w:rStyle w:val="10"/>
          <w:rFonts w:ascii="Times New Roman" w:hAnsi="Times New Roman"/>
          <w:i/>
          <w:iCs/>
          <w:color w:val="0000FF"/>
          <w:sz w:val="20"/>
          <w:szCs w:val="20"/>
          <w:u w:val="single" w:color="0000FF"/>
        </w:rPr>
        <w:t>t.me/RoscongressEsp</w:t>
      </w:r>
      <w:r>
        <w:rPr>
          <w:rStyle w:val="10"/>
          <w:rFonts w:ascii="Times New Roman" w:hAnsi="Times New Roman"/>
          <w:i/>
          <w:iCs/>
          <w:sz w:val="20"/>
          <w:szCs w:val="20"/>
        </w:rPr>
        <w:t>.</w:t>
      </w:r>
    </w:p>
    <w:p>
      <w:pPr>
        <w:pStyle w:val="6"/>
        <w:ind w:firstLine="426"/>
        <w:jc w:val="both"/>
      </w:pPr>
      <w:r>
        <w:rPr>
          <w:rStyle w:val="10"/>
          <w:rFonts w:ascii="Times New Roman" w:hAnsi="Times New Roman"/>
          <w:i/>
          <w:iCs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bookmarkEnd w:id="1"/>
      <w:r>
        <w:rPr>
          <w:rStyle w:val="12"/>
          <w:rFonts w:eastAsia="Arial Unicode MS"/>
        </w:rPr>
        <w:fldChar w:fldCharType="begin"/>
      </w:r>
      <w:r>
        <w:rPr>
          <w:rStyle w:val="12"/>
          <w:rFonts w:eastAsia="Arial Unicode MS"/>
        </w:rPr>
        <w:instrText xml:space="preserve"> HYPERLINK "http://roscongress.org"</w:instrText>
      </w:r>
      <w:r>
        <w:rPr>
          <w:rStyle w:val="12"/>
          <w:rFonts w:eastAsia="Arial Unicode MS"/>
        </w:rPr>
        <w:fldChar w:fldCharType="separate"/>
      </w:r>
      <w:r>
        <w:rPr>
          <w:rStyle w:val="12"/>
          <w:rFonts w:eastAsia="Arial Unicode MS"/>
        </w:rPr>
        <w:t>roscongress.org</w:t>
      </w:r>
      <w:r>
        <w:fldChar w:fldCharType="end"/>
      </w:r>
      <w:r>
        <w:rPr>
          <w:rStyle w:val="12"/>
          <w:rFonts w:eastAsia="Arial Unicode MS"/>
        </w:rPr>
        <w:t>.</w:t>
      </w:r>
    </w:p>
    <w:sectPr>
      <w:headerReference r:id="rId5" w:type="default"/>
      <w:footerReference r:id="rId6" w:type="default"/>
      <w:pgSz w:w="11900" w:h="16840"/>
      <w:pgMar w:top="2836" w:right="850" w:bottom="1134" w:left="1701" w:header="907" w:footer="283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9329"/>
        <w:tab w:val="clear" w:pos="9355"/>
      </w:tabs>
    </w:pP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125730</wp:posOffset>
          </wp:positionV>
          <wp:extent cx="7559675" cy="1694180"/>
          <wp:effectExtent l="0" t="0" r="0" b="0"/>
          <wp:wrapNone/>
          <wp:docPr id="1073741825" name="officeArt object" descr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Рисунок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941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-17145</wp:posOffset>
          </wp:positionH>
          <wp:positionV relativeFrom="page">
            <wp:posOffset>7592695</wp:posOffset>
          </wp:positionV>
          <wp:extent cx="7595870" cy="3171825"/>
          <wp:effectExtent l="0" t="0" r="0" b="0"/>
          <wp:wrapNone/>
          <wp:docPr id="1073741826" name="officeArt object" descr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Рисунок 1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5848" cy="3171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trackRevisions w:val="1"/>
  <w:documentProtection w:enforcement="0"/>
  <w:defaultTabStop w:val="708"/>
  <w:displayHorizontalDrawingGridEvery w:val="1"/>
  <w:displayVerticalDrawingGridEvery w:val="1"/>
  <w:noPunctuationKerning w:val="1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8E0FD1"/>
    <w:rsid w:val="00255664"/>
    <w:rsid w:val="006916A2"/>
    <w:rsid w:val="008E0FD1"/>
    <w:rsid w:val="00E259F2"/>
    <w:rsid w:val="03825231"/>
    <w:rsid w:val="0D821633"/>
    <w:rsid w:val="20E52D5B"/>
    <w:rsid w:val="24E93BB7"/>
    <w:rsid w:val="3005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Arial Unicode MS" w:cs="Arial Unicode MS"/>
      <w:color w:val="000000"/>
      <w:sz w:val="22"/>
      <w:szCs w:val="22"/>
      <w:u w:color="00000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paragraph" w:styleId="5">
    <w:name w:val="Balloon Text"/>
    <w:basedOn w:val="1"/>
    <w:link w:val="13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Plain Text"/>
    <w:qFormat/>
    <w:uiPriority w:val="0"/>
    <w:pPr>
      <w:spacing w:after="160" w:line="256" w:lineRule="auto"/>
    </w:pPr>
    <w:rPr>
      <w:rFonts w:ascii="Calibri" w:hAnsi="Calibri" w:eastAsia="Arial Unicode MS" w:cs="Arial Unicode MS"/>
      <w:color w:val="000000"/>
      <w:sz w:val="22"/>
      <w:szCs w:val="22"/>
      <w:u w:color="000000"/>
      <w:lang w:val="ru-RU" w:eastAsia="ru-RU" w:bidi="ar-SA"/>
    </w:rPr>
  </w:style>
  <w:style w:type="paragraph" w:styleId="7">
    <w:name w:val="header"/>
    <w:qFormat/>
    <w:uiPriority w:val="0"/>
    <w:pPr>
      <w:tabs>
        <w:tab w:val="center" w:pos="4677"/>
        <w:tab w:val="right" w:pos="9355"/>
      </w:tabs>
      <w:spacing w:after="160" w:line="256" w:lineRule="auto"/>
    </w:pPr>
    <w:rPr>
      <w:rFonts w:ascii="Calibri" w:hAnsi="Calibri" w:eastAsia="Arial Unicode MS" w:cs="Arial Unicode MS"/>
      <w:color w:val="000000"/>
      <w:sz w:val="22"/>
      <w:szCs w:val="22"/>
      <w:u w:color="000000"/>
      <w:lang w:val="ru-RU" w:eastAsia="ru-RU" w:bidi="ar-SA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Колонтитулы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ru-RU" w:eastAsia="ru-RU" w:bidi="ar-SA"/>
    </w:rPr>
  </w:style>
  <w:style w:type="character" w:customStyle="1" w:styleId="10">
    <w:name w:val="Нет"/>
    <w:qFormat/>
    <w:uiPriority w:val="0"/>
  </w:style>
  <w:style w:type="character" w:customStyle="1" w:styleId="11">
    <w:name w:val="Hyperlink.0"/>
    <w:basedOn w:val="10"/>
    <w:qFormat/>
    <w:uiPriority w:val="0"/>
    <w:rPr>
      <w:rFonts w:ascii="Times New Roman" w:hAnsi="Times New Roman" w:eastAsia="Times New Roman" w:cs="Times New Roman"/>
      <w:color w:val="0000FF"/>
      <w:sz w:val="24"/>
      <w:szCs w:val="24"/>
      <w:u w:val="single" w:color="0000FF"/>
    </w:rPr>
  </w:style>
  <w:style w:type="character" w:customStyle="1" w:styleId="12">
    <w:name w:val="Hyperlink.1"/>
    <w:basedOn w:val="10"/>
    <w:qFormat/>
    <w:uiPriority w:val="0"/>
    <w:rPr>
      <w:rFonts w:ascii="Times New Roman" w:hAnsi="Times New Roman" w:eastAsia="Times New Roman" w:cs="Times New Roman"/>
      <w:i/>
      <w:iCs/>
      <w:color w:val="0000FF"/>
      <w:sz w:val="20"/>
      <w:szCs w:val="20"/>
      <w:u w:val="single" w:color="0000FF"/>
    </w:rPr>
  </w:style>
  <w:style w:type="character" w:customStyle="1" w:styleId="13">
    <w:name w:val="Текст выноски Знак"/>
    <w:basedOn w:val="2"/>
    <w:link w:val="5"/>
    <w:uiPriority w:val="0"/>
    <w:rPr>
      <w:rFonts w:ascii="Tahoma" w:hAnsi="Tahoma" w:cs="Tahoma"/>
      <w:color w:val="000000"/>
      <w:sz w:val="16"/>
      <w:szCs w:val="16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E23BC1EF</Template>
  <Company>МИД РФ</Company>
  <Pages>4</Pages>
  <Words>1466</Words>
  <Characters>8359</Characters>
  <Lines>69</Lines>
  <Paragraphs>19</Paragraphs>
  <TotalTime>41</TotalTime>
  <ScaleCrop>false</ScaleCrop>
  <LinksUpToDate>false</LinksUpToDate>
  <CharactersWithSpaces>9806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2022-08-25T08:46:00Z</dcterms:created>
  <dc:creator>lev</dc:creator>
  <cp:lastModifiedBy>lev</cp:lastModifiedBy>
  <dcterms:modified xsi:type="dcterms:W3CDTF">2022-08-25T14:57:38Z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5C7E749A3B5347FFBD14E6EB1C9E32C7</vt:lpwstr>
  </property>
</Properties>
</file>